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aee6b6944fa24f77"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28209</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VIRJE</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22</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1.669.858,15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2.016.677,89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1.371.653,99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1.653.447,06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298.204,16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363.230,83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121,8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7.127,92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303.372,23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630.525,49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207,8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296.244,31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630.466,90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212,8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189.675,65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491.427,63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259,1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53.342,44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56.062,44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PRIMITAKA OD FINANCIJSKE IMOVINE I ZADUŽIVANJA (šifre 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136.333,21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435.365,19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319,3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138.293,06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168.129,12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121,6</w:t>
            </w:r>
          </w:p>
        </w:tc>
      </w:tr>
    </w:tbl>
    <w:p>
      <w:pPr>
        <w:spacing w:before="0" w:after="0"/>
      </w:pPr>
    </w:p>
    <w:p>
      <w:r>
        <w:t xml:space="preserve">      -UKUPNI PRIHODI I PRIMICI ZA RAZDOBLJE I-VI/26         =2.508.164,11 </w:t>
      </w:r>
    </w:p>
    <w:p>
      <w:r>
        <w:t xml:space="preserve">                               </w:t>
      </w:r>
    </w:p>
    <w:p>
      <w:r>
        <w:t xml:space="preserve">      -UKUPNI RASHODI I IZDACI ZA RAZDOBLJE I-VI/26          =2.340.034,99 </w:t>
      </w:r>
    </w:p>
    <w:p>
      <w:r>
        <w:t xml:space="preserve">      -VIŠAK PRIHODA I PRIMITAKA –za razdoblje                       =168.129,12   </w:t>
      </w:r>
    </w:p>
    <w:p>
      <w:r>
        <w:t xml:space="preserve">      -MANJAK PRIHODA I PRIMITAKA –preneseni                         =238.852,48 </w:t>
      </w:r>
    </w:p>
    <w:p>
      <w:r>
        <w:t xml:space="preserve">      -MANJAK PRIHODA I PRIMITAKA                                             =70.723,36 eura.</w:t>
      </w:r>
    </w:p>
    <w:p>
      <w:r>
        <w:t xml:space="preserve">       (za pokriće u sljedećem razdoblju)</w:t>
      </w:r>
    </w:p>
    <w:p>
      <w:r>
        <w:t xml:space="preserve"> </w:t>
      </w:r>
    </w:p>
    <w:p>
      <w:r>
        <w:t xml:space="preserve">            Iz svega navedenog vidljivo je da je u ovom razdoblju ostvaren nevelik manjak  prihoda i primitaka =70.723,36 eura, a koji će sigurno biti pokriven već u sljedećem razdoblju. </w:t>
      </w:r>
    </w:p>
    <w:p>
      <w:r>
        <w:t xml:space="preserve">Uspoređujući ove podatke sa podacima iz istog razdoblja lani, uočavamo povećanje prihoda i primitaka za 34,4% ili =641.502,39 eura, te rashoda i izdataka za 35,4% ili =611.666,33 eura. Razlog ovako velikom povećanju i prihoda i troškova je novi kredit Erste banke d.d. u ukupnoj visini od =1.500.000,00 eura , a kojega smo do kraja realizirali u ovom polugodištu. U ovoj godini realizacija kredita je iznosila =455.749,68 eura.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 na dohodak (šifre 6111 do 6116 - 6117 - 6119)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486.544,56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610.457,99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125,5</w:t>
            </w:r>
          </w:p>
        </w:tc>
      </w:tr>
    </w:tbl>
    <w:p>
      <w:pPr>
        <w:spacing w:before="0" w:after="0"/>
      </w:pPr>
    </w:p>
    <w:p>
      <w:r>
        <w:t xml:space="preserve">Planiranje prihoda od poreza na dohodak u Proračunu Općine za 2026. godinu, vršeno je na temelju pokazatelja iz prošle godine i temeljem Zakona o financiranju jedinaca lokalne i područne samouprave, a u kojem se država odriče udjela u rasporedu poreza na dohodak, a za račun lokalne i regionalne samouprave.</w:t>
      </w:r>
    </w:p>
    <w:p>
      <w:r>
        <w:t xml:space="preserve">Veseli nas povećanje ovih prihoda od 25,5% ili =123.913,43 eura. </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Povremeni porezi na imovinu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44.217,30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38.261,80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86,5</w:t>
            </w:r>
          </w:p>
        </w:tc>
      </w:tr>
    </w:tbl>
    <w:p>
      <w:pPr>
        <w:spacing w:before="0" w:after="0"/>
      </w:pPr>
    </w:p>
    <w:p>
      <w:r>
        <w:t xml:space="preserve">U tu skupinu poreza spada i nama uvijek interesantan POREZ NA PROMET NEKRETNINA, čije ostvarenje je nešto manje nego u lanjskom razdoblju i to 13,5% ili =6.0547,50 eura, a iz toga možemo zaključiti da se odvijaju transakcije sa imovinom na teritoriju naše Općine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 na promet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6.701,41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5.698,49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85,0</w:t>
            </w:r>
          </w:p>
        </w:tc>
      </w:tr>
    </w:tbl>
    <w:p>
      <w:pPr>
        <w:spacing w:before="0" w:after="0"/>
      </w:pPr>
    </w:p>
    <w:p>
      <w:r>
        <w:t xml:space="preserve">Iz ove skupine poreza, Općina Virje ostvaruje prihod samo s jedne osnove i to putem naplate POREZA NA POTROŠNJU ALKOHOLNIH I BEZALK. PIĆA – gdje bilježimo gotovio identično ostvarenje u odnosu na isto razdoblje lani.</w:t>
      </w:r>
    </w:p>
    <w:p>
      <w:r>
        <w:t xml:space="preserve"> </w:t>
      </w:r>
    </w:p>
    <w:p>
      <w:r>
        <w:t xml:space="preserve">Inače vršimo stalno praćenje naplate tog poreza, te vjerujemo da neće izostati i  bolji rezultati u budućim razdobljima.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532.145,16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684.326,28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128,6</w:t>
            </w:r>
          </w:p>
        </w:tc>
      </w:tr>
    </w:tbl>
    <w:p>
      <w:pPr>
        <w:spacing w:before="0" w:after="0"/>
      </w:pPr>
    </w:p>
    <w:p>
      <w:r>
        <w:t xml:space="preserve">Unutar ove šifre iskazujemo pomoći koje smo dobili iz drugih proračuna, a koje ukupno iznose =684.326,28 eura i za 28,6%  ili =152.181,12 eura su veće nego u lanjskom razdoblju. </w:t>
      </w:r>
    </w:p>
    <w:p>
      <w:r>
        <w:t xml:space="preserve">Pa smo tako u ovom polugodištu ostvarili tekuće pomoći Ministarstva rada za financiranje programa zapošljavanja žena „Zaželi “ (ŠIFRA 6323) u iznosu od =100.725,45 eura. </w:t>
      </w:r>
    </w:p>
    <w:p>
      <w:r>
        <w:t xml:space="preserve">Tekuće pomoći, ukupno iskazane na ŠIFRI 6331 (=476.659,96 eura) smo primili i iz državnog proračuna i to za fiskalno izravnanje -tkz. „kompenzacijske mjere“ za pomoć lokalnoj samoupravi u visini od =399.498,96 eura (djelomično opisano u bilješci 2), primili smo i =74.561,00 eura za fiskalnu održivost našeg vrtića, kao i tekuću pomoć iz županijskog proračuna za program „POMOĆ U KUĆI“ od =2.600,00 eura za sufinanciranja rada gerontodomaćica na našem području.</w:t>
      </w:r>
    </w:p>
    <w:p>
      <w:r>
        <w:t xml:space="preserve">Na šifri 6332, iskazali smo kapitalnu pomoć u ukupnom iznosu od =98.291,65 eura, a koje smo primili iz županijskog proračuna za tkz. ravnomjeri razvoj od =18.372,77 eura i iz državnog proračuna =80.318,88 eura za projekt navodnjavanju u športskom parku.</w:t>
      </w:r>
    </w:p>
    <w:p>
      <w:r>
        <w:t xml:space="preserve">Pomoć iskazana na ŠIFRI 635 (=8.249,22 eura) odnosi se na tekuće pomoći izravnanja za decentralizirane funkcije u vatrogastvu, a koji vračamo većinskom osnivaču javne vatrogasne postrojbe -gradu Đurđevcu.</w:t>
      </w:r>
    </w:p>
    <w:p>
      <w:r>
        <w:t xml:space="preserve"> </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nefinancijske imovine (šifre 6421 do 6429)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115.692,87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116.223,28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100,5</w:t>
            </w:r>
          </w:p>
        </w:tc>
      </w:tr>
    </w:tbl>
    <w:p>
      <w:pPr>
        <w:spacing w:before="0" w:after="0"/>
      </w:pPr>
    </w:p>
    <w:p>
      <w:r>
        <w:t xml:space="preserve">U ovu vrst prihoda spadaju:</w:t>
      </w:r>
    </w:p>
    <w:p>
      <w:r>
        <w:t xml:space="preserve">a) PRIHODI OD NAKNADA ZA KONCESIJE, čije ostvarenje je na nivou lanjskog razdoblja .</w:t>
      </w:r>
    </w:p>
    <w:p>
      <w:r>
        <w:t xml:space="preserve">b) PRIHODI OD ZAKUPA I IZNAJMLJIVANJA, postaju sve više sporadični i najvećim dijelom se odnose na najam domova po mjesnim odborima, pa budući da je u ovom razdoblju povećano zanimanje stanovništva naše Općine za najam domova, tako bilježimo i veće izvršenje ove stavke u odnosu na lanjsko razdoblje.</w:t>
      </w:r>
    </w:p>
    <w:p>
      <w:r>
        <w:t xml:space="preserve">c) NAKNADA ZA EKSPLOATACIJU MINERALNIH SIROVINA (ŠIFRA 6423) planiranje ove vrste prihoda vršeno je temeljem lanjskih pokazatelja, dok je samo izvršenje na nivou lanjskog razdoblja.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Upravne i administrativne pristojbe (šifre 6511 do 6514)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17,9</w:t>
            </w:r>
          </w:p>
        </w:tc>
      </w:tr>
    </w:tbl>
    <w:p>
      <w:pPr>
        <w:spacing w:before="0" w:after="0"/>
      </w:pPr>
    </w:p>
    <w:p>
      <w:r>
        <w:t xml:space="preserve">Ova bilješka se odnosi na prihod od ostalih upravnih pristojbi i naknada tj. prihoda od prodaje državnih biljega, a na što nemamo nikakvih utjecaja. </w:t>
      </w:r>
    </w:p>
    <w:p>
      <w:r>
        <w:t xml:space="preserve"> </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za šume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8.859,65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33.762,56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381,1</w:t>
            </w:r>
          </w:p>
        </w:tc>
      </w:tr>
    </w:tbl>
    <w:p>
      <w:pPr>
        <w:spacing w:before="0" w:after="0"/>
      </w:pPr>
    </w:p>
    <w:p>
      <w:r>
        <w:t xml:space="preserve">Kao i na prihod u prošloj bilješci, na prihod od doprinosa za šume, ne možemo utjecati, zato jer nam same Uprave šuma dostavljaju obračun prihoda koji nam pripada i to nam služi kao objektivna baza za planiranje u slijedećim razdobljima.</w:t>
      </w:r>
    </w:p>
    <w:p>
      <w:r>
        <w:t xml:space="preserve"> </w:t>
      </w:r>
    </w:p>
    <w:p>
      <w:r>
        <w:t xml:space="preserve"> </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23.646,78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94.479,32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399,5</w:t>
            </w:r>
          </w:p>
        </w:tc>
      </w:tr>
    </w:tbl>
    <w:p>
      <w:pPr>
        <w:spacing w:before="0" w:after="0"/>
      </w:pPr>
    </w:p>
    <w:p>
      <w:r>
        <w:t xml:space="preserve">U ovu vrst prihoda spadaju prihodi od groblja, vagarine i maltarine. Ostvarenje ove stavke je veće i to gotovo četiri puta ili =70.832,54 eura u odnosu na lanjsko razdoblje, jer smo ovdje proknjižili prihod od „Hrvatskih cesta“ za sufinanciranje kupnje nekretnina za buduću izgradnju kružnog toka.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Komunalni doprinosi i naknade (šifre 6531 do 6533)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437.924,27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429.045,62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98,0</w:t>
            </w:r>
          </w:p>
        </w:tc>
      </w:tr>
    </w:tbl>
    <w:p>
      <w:pPr>
        <w:spacing w:before="0" w:after="0"/>
      </w:pPr>
    </w:p>
    <w:p>
      <w:r>
        <w:t xml:space="preserve">Najveći dio prihoda s te osnove odnosi se na prihode od komunalne naknade, gdje bilježimo blago smanjenje u odnosu na lanjsko razdoblje.</w:t>
      </w:r>
    </w:p>
    <w:p>
      <w:r>
        <w:t xml:space="preserve">Inače zaduživanje Rješenja za komunalnu naknadu u 2026. godini izvršili smo zaključno sa 31. ožujkom.</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prihodi od donacija te povrati po protestiranim jamstvima (šifre 661+663)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14.079,90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3.359,28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23,9</w:t>
            </w:r>
          </w:p>
        </w:tc>
      </w:tr>
    </w:tbl>
    <w:p>
      <w:pPr>
        <w:spacing w:before="0" w:after="0"/>
      </w:pPr>
    </w:p>
    <w:p>
      <w:r>
        <w:t xml:space="preserve">Odnosi se na naplatu naknade od 10% za uređenje voda i to od =3.579,90 eura (ŠIFRA 6615), bodući da nakon tri godina vođenja naplate, od 1. siječnja ove godine HRVATSKE VODE d.d. su natrag preuzele vođenje naplate.</w:t>
      </w:r>
    </w:p>
    <w:p>
      <w:r>
        <w:t xml:space="preserve"> </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zaposlenima (šifre 3211 do 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5.696,80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2.758,50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48,4</w:t>
            </w:r>
          </w:p>
        </w:tc>
      </w:tr>
    </w:tbl>
    <w:p>
      <w:pPr>
        <w:spacing w:before="0" w:after="0"/>
      </w:pPr>
    </w:p>
    <w:p>
      <w:r>
        <w:t xml:space="preserve">U cijelosti se odnosi na naknade troškova zaposlenima (službena putovanja, prijevoz s i na posao, stručno usavršavanje i sl.), a njegova ukupna realizacija je nešto manja u odnosu na lanjsko razdoblje, s obzirom da u ovoj godini nemamo primopredaju dužnosti (Općinski načelnik-načelnica).</w:t>
      </w:r>
    </w:p>
    <w:p>
      <w:r>
        <w:t xml:space="preserve">Napominjemo, da Općinska načelnica, koja svoju dužnost obavlja profesionalno (stalni radni odnos), koristi svoj privatni automobil u službene svrhe. </w:t>
      </w:r>
    </w:p>
    <w:p>
      <w:r>
        <w:t xml:space="preserve"> </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materijal i energiju (šifre 3221 do 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53.641,22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64.567,90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120,4</w:t>
            </w:r>
          </w:p>
        </w:tc>
      </w:tr>
    </w:tbl>
    <w:p>
      <w:pPr>
        <w:spacing w:before="0" w:after="0"/>
      </w:pPr>
    </w:p>
    <w:p>
      <w:r>
        <w:t xml:space="preserve">Najvećim dijelom se odnosi na troškove za energiju i uredski materijal, a za koje se može reći da su u okviru planiranoga i da su veći u odnosu na lanjsko razdoblje i to za preko 20% ili =10.926,68 eura, što je i razumljivo s obzirom na sva silna poskupljenja kojima svakodnevno svjedočimo.</w:t>
      </w:r>
    </w:p>
    <w:p>
      <w:r>
        <w:t xml:space="preserve"> </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usluge (šifre 3231 do 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298.102,44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441.944,73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148,3</w:t>
            </w:r>
          </w:p>
        </w:tc>
      </w:tr>
    </w:tbl>
    <w:p>
      <w:pPr>
        <w:spacing w:before="0" w:after="0"/>
      </w:pPr>
    </w:p>
    <w:p>
      <w:r>
        <w:t xml:space="preserve">U ovu skupini rashoda, spadaju usluge telefona, pošte, tekućeg i investicijskog održavanja, promidžbe, komunalne, zdravstvene, računalne, intelektualne, te zakupnine, a koje su za preko 48% ili =143.842,29 eura veće u odnosu na ostvarenje prošle godine.</w:t>
      </w:r>
    </w:p>
    <w:p>
      <w:r>
        <w:t xml:space="preserve">Osnovni razlog tomu krije se unutar ŠIFRE 3232, a koja se odnosi na usluge tekućeg i investicijskog održavanja. Naime, zbog povećanja obima poslovanja (sve je više građevina koje treba adekvatno obrađivati), a i zbog blage zime, došlo je do većeg porasta svih vrsta održavanja. </w:t>
      </w:r>
    </w:p>
    <w:p>
      <w:r>
        <w:t xml:space="preserve">Ostali troškovi iz ove skupine su uglavnom na nivou prošlogodišnjeg razdoblja.</w:t>
      </w:r>
    </w:p>
    <w:p>
      <w:r>
        <w:t xml:space="preserve"> </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(šifre 3291 do 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125.458,88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120.734,47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96,2</w:t>
            </w:r>
          </w:p>
        </w:tc>
      </w:tr>
    </w:tbl>
    <w:p>
      <w:pPr>
        <w:spacing w:before="0" w:after="0"/>
      </w:pPr>
    </w:p>
    <w:p>
      <w:r>
        <w:t xml:space="preserve">Najvećim djelom se odnosi na naknade Predsjedniku vijeća, Donačelniku, te članovima Općinskog vijeća, kao i na premije osiguranja, reprezentaciju, članarine, te ostale nespomenute rashode poslovanja. U ovom razdoblju bilježimo gotovo identično ostvarenje u odnosu na lanjsko razdoblje. </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Financijski rashodi (šifre 341+342+343)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50.444,67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31.232,08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61,9</w:t>
            </w:r>
          </w:p>
        </w:tc>
      </w:tr>
    </w:tbl>
    <w:p>
      <w:pPr>
        <w:spacing w:before="0" w:after="0"/>
      </w:pPr>
    </w:p>
    <w:p>
      <w:r>
        <w:t xml:space="preserve">Uglavnom se odnosi na kamatu po primljenom kreditu za izgradnju komunalne infrastrukture (HBOR), te ostale nespomenute financijske rashode, a koje smo u ovom razdoblju teretili sa raznim usklađenjima (troškovima) sa sudovima i odvjetnicima, budući da nasljeđujemo imovinu od pokojnika bez nasljednika. U ovom razdoblju je bilo i manje takovih slučajeva, pa na taj način bilježimo i smanjenje ovih troškova i to za cca.12,5% ili =9.516,15 eura u odnosu na lanjsko razdoblje.</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Subvencije (šifre 351+352+353)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1.222,28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Naša Općina vrši subvencije poljoprivrednicima, obrtnicima, te malim i srednjim poduzetnicima sa svojeg teritorija i to za umjetno osjemenjivanje stoke, djela kamate po kreditima, doškolovanje za različita zanimanja u poljoprivredi, kupnju poljoprivredne mehanizacije, okrupnjavanje zemljišta, komunalnog doprinosa, osiguranja, nabavke loznih cijepova, pokretanje gospodarske aktivnosti, poticaje za zapošljavanje i sl.</w:t>
      </w:r>
    </w:p>
    <w:p>
      <w:r>
        <w:t xml:space="preserve">Budući da još nisu obrađeni svi zahtjevi za sufinanciranja po raspisanim javnim pozivima, u ovom razdoblju takoreći nemamo ni troškova ove vrste, osim za subvencije kamate po poljoprivrednim kreditima.</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drugom proračunu i izvanproračunskim korisnicima (šifre 3631 do 3636)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28.041,87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34.466,64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122,9</w:t>
            </w:r>
          </w:p>
        </w:tc>
      </w:tr>
    </w:tbl>
    <w:p>
      <w:pPr>
        <w:spacing w:before="0" w:after="0"/>
      </w:pPr>
    </w:p>
    <w:p>
      <w:r>
        <w:t xml:space="preserve">Ovdje iskazujemo pomoći koje naša Općina daje korisnicima drugih Proračuna i to:</w:t>
      </w:r>
    </w:p>
    <w:p>
      <w:r>
        <w:t xml:space="preserve">1.    Osnovnoj školi „Prof.F.V. Šignjar“ Virje, kao županijskom proračunskom korisniku, a za bolji standard učenika i učitelja.</w:t>
      </w:r>
    </w:p>
    <w:p>
      <w:r>
        <w:t xml:space="preserve">2.    Javnoj vatrogasnoj postrojbi grada Đurđevca, kao gradskom proračunskom korisniku, a što je u stvari povrat od primljenih tekućih pomoći izravnanja za decentralizirane funkcije, a koje naša Općina ostvaruje temeljem udjela u ovoj ustanovi.</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Prijenosi proračunskim korisnicima iz nadležnog proračuna za financiranje redovne djelatnosti (šifre 3672 do 3674)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353.620,52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494.714,58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139,9</w:t>
            </w:r>
          </w:p>
        </w:tc>
      </w:tr>
    </w:tbl>
    <w:p>
      <w:pPr>
        <w:spacing w:before="0" w:after="0"/>
      </w:pPr>
    </w:p>
    <w:p>
      <w:r>
        <w:t xml:space="preserve">Ovdje smo iskazali prijenose svojim proračunskim korisnicima za financiranje njihove redovne djelatnosti u ukupnom iznosu od =494.714,58 eura i to za:</w:t>
      </w:r>
    </w:p>
    <w:p>
      <w:r>
        <w:t xml:space="preserve"> </w:t>
      </w:r>
    </w:p>
    <w:p>
      <w:r>
        <w:t xml:space="preserve">1.    Dječjem vrtiću Zrno Virje smo u ovom razdoblju ukupno doznačili =424.491,83 eura i to za financiranje rashoda poslovanja,</w:t>
      </w:r>
    </w:p>
    <w:p>
      <w:r>
        <w:t xml:space="preserve"> </w:t>
      </w:r>
    </w:p>
    <w:p>
      <w:r>
        <w:t xml:space="preserve">2.    Narodnoj knjižnici Virje smo ukupno doznačili =28.017,49 eura i to isto za financiranje rashoda poslovanja, kao i</w:t>
      </w:r>
    </w:p>
    <w:p>
      <w:r>
        <w:t xml:space="preserve"> </w:t>
      </w:r>
    </w:p>
    <w:p>
      <w:r>
        <w:t xml:space="preserve">3.    Muzeju Podravine Virje, gdje smo ukupno doznačili =42.205,26 eura i to za financiranje rashoda poslovanja =34.594,82 eura i za nabavu nefinancijske imovine =7.610,44 eura.</w:t>
      </w:r>
    </w:p>
    <w:p>
      <w:r>
        <w:t xml:space="preserve"> </w:t>
      </w:r>
    </w:p>
    <w:p>
      <w:r>
        <w:t xml:space="preserve">Napominjemo, da su ovi troškovi u odnosu na lanjsko razdoblje veći za  cca.40% ili =141.094,06 eura, a što smo si zbog dobrog punjenja proračuna mogli i priuštiti.</w:t>
      </w:r>
    </w:p>
    <w:p>
      <w:r>
        <w:t xml:space="preserve"> </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građanima i kućanstvima iz proračuna (šifre 3721 do 3723)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121.982,03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134.876,03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110,6</w:t>
            </w:r>
          </w:p>
        </w:tc>
      </w:tr>
    </w:tbl>
    <w:p>
      <w:pPr>
        <w:spacing w:before="0" w:after="0"/>
      </w:pPr>
    </w:p>
    <w:p>
      <w:r>
        <w:t xml:space="preserve">Odnosi na naknade građanima i kućanstvima i to u novcu i u naravi, a gdje vršimo terećenja za jednokratne isplate za novorođenčad, đačke karte, pomoći za otplatu studentskih i đačkih kredita, pomoći osobama s invaliditetom i slično. Zadovoljni smo, što smo u ovom segmentu ostali na lanjskoj vrlo visokoj realizaciji, što također pripisujemo vrlo stabilnim općinskim financijama jer smo odgovorili na sve zahtjeve za sufinanciranje programa potpora mladim obiteljima za njihovo stambeno zbrinjavanje -iskazano unutar šifre 3722, dok ćemo do kraja godine doseći planirana sredstva.</w:t>
      </w:r>
    </w:p>
    <w:p>
      <w:r>
        <w:t xml:space="preserve">Moramo napomenuti, da svi đaci s teritorija naše Općine i dalje imaju potpuno besplatan prijevoz do svojih škola i natrag.</w:t>
      </w:r>
    </w:p>
    <w:p>
      <w:r>
        <w:t xml:space="preserve"> </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(šifre 3811 do 3813)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159.334,06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153.969,05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96,6</w:t>
            </w:r>
          </w:p>
        </w:tc>
      </w:tr>
    </w:tbl>
    <w:p>
      <w:pPr>
        <w:spacing w:before="0" w:after="0"/>
      </w:pPr>
    </w:p>
    <w:p>
      <w:r>
        <w:t xml:space="preserve">Ovdje se iskazuju tekuće donacije različitim udrugama s područja naše Općine i to u novcu i u naravi (roba za Caritas Virje), a čija je ukupna realizacija </w:t>
      </w:r>
    </w:p>
    <w:p>
      <w:r>
        <w:t xml:space="preserve">u ovom razdoblju na nivou vrlo visoke lanjske realizacije. </w:t>
      </w:r>
    </w:p>
    <w:p>
      <w:r>
        <w:t xml:space="preserve">Razlog tomu je svakako vrlo stabilna financijska situacija i pravovremen priljev sredstava na općinski račun, pa zato smatramo da su rashodi na ovim pozicijama  realni i da se nalaze u okviru trenutnih mogućnosti.</w:t>
      </w:r>
    </w:p>
    <w:p>
      <w:r>
        <w:t xml:space="preserve"> </w:t>
      </w:r>
    </w:p>
    <w:p>
      <w:r>
        <w:t xml:space="preserve">            Napominjemo, da u ovom obračunskom razdoblju nismo koristili proračunsku pričuvu.</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Stambeni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86,3</w:t>
            </w:r>
          </w:p>
        </w:tc>
      </w:tr>
    </w:tbl>
    <w:p>
      <w:pPr>
        <w:spacing w:before="0" w:after="0"/>
      </w:pPr>
    </w:p>
    <w:p>
      <w:r>
        <w:t xml:space="preserve"> Odnosi se na obročne otplate stanova i ovdje ponovno uočavamo veliku financijsku nediscipliniranost preostalog obveznika. </w:t>
      </w:r>
    </w:p>
    <w:p>
      <w:r>
        <w:t xml:space="preserve">Podsjećamo, da do petnaestoga u mjesecu izvršimo obračun uplaćenih sredstava za protekli mjesec, te 55% uplatimo na račun Državnog proračuna. </w:t>
      </w:r>
    </w:p>
    <w:p>
      <w:r>
        <w:t xml:space="preserve"> </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303.372,23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630.525,49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207,8</w:t>
            </w:r>
          </w:p>
        </w:tc>
      </w:tr>
    </w:tbl>
    <w:p>
      <w:pPr>
        <w:spacing w:before="0" w:after="0"/>
      </w:pPr>
    </w:p>
    <w:p>
      <w:r>
        <w:t xml:space="preserve"> U cijelosti se odnosi na rashode za nabavu nefinancijske imovine (ukupni razred 4).</w:t>
      </w:r>
    </w:p>
    <w:p>
      <w:r>
        <w:t xml:space="preserve">Uočavamo veće ostvarenje ovih troškova u odnosu na lanjsko razdoblje i to za čak 107,8% ili =327.153,26 eura, a razlog tomu je blaga zima, tako da nije bilo prekida građevinske sezone.</w:t>
      </w:r>
    </w:p>
    <w:p>
      <w:r>
        <w:t xml:space="preserve">Od ukupno ovdje iskazanih troškova u visini od =630.525,49 eura, najveći dio otpada na uređenje zgrade stare škole u Virju =290.253,79 eura, sanacija zgrade hostela u Virju =205.527,73 eura, radovi na uređenju oborinske odvodnje u Miholjanskoj ulici u Virju =71.067,84 eura i tako redom. </w:t>
      </w:r>
    </w:p>
    <w:p>
      <w:r>
        <w:t xml:space="preserve">Također su u pripremi i niz velikih projekata, a koji bi trebali započeti u sljedećim godinama. Među njima ističemo nastavak projekta uređenja i obnove zgrade stare škole u Virju, sanaciju odlagališta otpada, izgradnju solarnih elektrana i slično, za što apliciramo u EU fondove.</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8121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Povrat zajmova danih neprofitnim organizacijama, građanima i kućanstvima u tuzemstvu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8121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13.719,53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35.677,97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260,1</w:t>
            </w:r>
          </w:p>
        </w:tc>
      </w:tr>
    </w:tbl>
    <w:p>
      <w:pPr>
        <w:spacing w:before="0" w:after="0"/>
      </w:pPr>
    </w:p>
    <w:p>
      <w:r>
        <w:t xml:space="preserve">Odnosi se na povrate studentskih i učeničkih kredita i to od svršenih studenata i učenika koji se nisu uspjeli zaposliti na području naše Općine ili više ne stanuju na teritoriju naše Općine, kao i od studenata koji su prekinuli svoje školovanje.</w:t>
      </w:r>
    </w:p>
    <w:p>
      <w:r>
        <w:t xml:space="preserve">Veću realizaciju ove stavke možemo zahvaliti činjenici što smo ovaj puta imali i više Rješenja o djelomičnom i eventualno potpunom otpisu pojedinih kredita, a temeljem prosjeka ocjena tijekom školovanja, odnosno Pravilniku.</w:t>
      </w:r>
    </w:p>
    <w:p>
      <w:r>
        <w:t xml:space="preserve"> </w:t>
      </w:r>
    </w:p>
    <w:p>
      <w:r>
        <w:t xml:space="preserve">Inače, stalno vršimo aktivnosti (usklađenja, dopisi, opomene….), a u svrhu što bolje naplativosti ove proračunske stavke. </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Primljeni krediti i zajmovi od kreditnih i ostalih financijskih institucija izvan javnog sektora (šifre 8443 do 8448)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175.956,12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455.749,66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259,0</w:t>
            </w:r>
          </w:p>
        </w:tc>
      </w:tr>
    </w:tbl>
    <w:p>
      <w:pPr>
        <w:spacing w:before="0" w:after="0"/>
      </w:pPr>
    </w:p>
    <w:p>
      <w:r>
        <w:t xml:space="preserve">Odnosi se na novoprimljeni dugoročni kredit od Erste banke d.d. na iznos od =1.500.000,00 eura koji je namijenjen za sufinanciranje više kapitalnih projekata (uređenje pješačkih staza -ul.Kolodvorska, Novigradska, Gorička i ul.Trnovec, izgradnja Trga dr. F.Tuđmana u Virju, uređenje zgrade stare škole u Virju i uređenje zgrade hostela na adresi F.Rusana 14 u Virju), a s čijom smo realizacijom krenuli u 2024. godini. Rok za korištenje ovog kredita je 15. lipanj 2026. godine. Ugovorena kamata je fiksna i iznosi 3,4500%. Povrat kredita je u 40 (četrdeset) jednakih tromjesečnih rata od po =37.500,00 eura, a prva na naplatu dospijeva 30.rujna 2026. godine. </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5121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Dani zajmovi neprofitnim organizacijama, građanima i kućanstvima u tuzemstvu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5121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33.590,00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36.310,00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108,1</w:t>
            </w:r>
          </w:p>
        </w:tc>
      </w:tr>
    </w:tbl>
    <w:p>
      <w:pPr>
        <w:spacing w:before="0" w:after="0"/>
      </w:pPr>
    </w:p>
    <w:p>
      <w:r>
        <w:t xml:space="preserve">U cijelosti se odnosi na dane kredite učenicima i studentima s područja Općine Virje, a za razdoblje od 1. siječnja do 30. lipnja. </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otplatu glavnice primljenih kredita i zajmova (šifre 541+542+543+544+545+547)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19.752,44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19.752,44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bl>
    <w:p>
      <w:pPr>
        <w:spacing w:before="0" w:after="0"/>
      </w:pPr>
    </w:p>
    <w:p>
      <w:r>
        <w:t xml:space="preserve">Odnosi se na otplatu našeg kredita, za dovršenje komunalne infrastrukture i vrtića, podignutog u Hrvatskoj banci za obnovu i razvitak, sa rokom otplate od 10 godina. S otplatom se krenulo od 31.ožujka 2018. godine i do sada je uplaćeno ispravnih četrdesetdva (42) anuiteta.</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kraju izvještajnog razdoblja (šifre 11P + '11-dugov.' - '11-potraž.')</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11K</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103.821,70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194.579,73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187,4</w:t>
            </w:r>
          </w:p>
        </w:tc>
      </w:tr>
    </w:tbl>
    <w:p>
      <w:pPr>
        <w:spacing w:before="0" w:after="0"/>
      </w:pPr>
    </w:p>
    <w:p>
      <w:r>
        <w:t xml:space="preserve">Financijsko poslovanje Općine vodi se preko žiro računa IBAN: HR87 23600001849000000, otvorenog u Zagrebačkoj banci d.d. i njegovo je stanje na dan 30. lipnja 2026. godine, po izvodu broj 160, iznosilo: =194.579,73 eura.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1. siječnja (=stanju obveza iz Izvještaja o obvezama na 31. prosinca prethodne godine)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1.415.453,23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Odnosi se na stanje obveza na početku izvještajnog razdoblja, pa je tako Općina na dan 1. siječnja 2026. godine imala ukupno dugovanje od: =1.415.453,23 eura, a koje se sastojalo od:</w:t>
      </w:r>
    </w:p>
    <w:p>
      <w:r>
        <w:t xml:space="preserve"> </w:t>
      </w:r>
    </w:p>
    <w:p>
      <w:r>
        <w:t xml:space="preserve">1. OBVEZE ZA ZAPOSLENE – račun 231 (plaće za 12/25)    =27.166,33 eura</w:t>
      </w:r>
    </w:p>
    <w:p>
      <w:r>
        <w:t xml:space="preserve">2. OBVEZE ZA MATERIJALNE RASHODE –račun 232           =59.304,98 eura</w:t>
      </w:r>
    </w:p>
    <w:p>
      <w:r>
        <w:t xml:space="preserve">3. OBVEZE ZA FINANCIJSKE RASHODE –račun 234            =14.110,18 eura</w:t>
      </w:r>
    </w:p>
    <w:p>
      <w:r>
        <w:t xml:space="preserve">4. OBVEZE ZA POMOĆI -račun 236                                     =70.000,00 eura</w:t>
      </w:r>
    </w:p>
    <w:p>
      <w:r>
        <w:t xml:space="preserve">5. OBVEZE ZA NAKN.GRAĐ.I KUĆANSTV. –račun 237           =1.934,09 eura</w:t>
      </w:r>
    </w:p>
    <w:p>
      <w:r>
        <w:t xml:space="preserve">6. OSTALE TEKUĆE OBVEZE – račun 239                               =29.429,23 eura</w:t>
      </w:r>
    </w:p>
    <w:p>
      <w:r>
        <w:t xml:space="preserve">7. OBVEZE ZA NABAVU NEFINANC.IMOVINE – račun 24     =87.030,96 eura</w:t>
      </w:r>
    </w:p>
    <w:p>
      <w:r>
        <w:t xml:space="preserve">8. OBVEZE ZA ZAJMOVE – račun 26                                 =1.126.477,46 eura</w:t>
      </w:r>
    </w:p>
    <w:p>
      <w:r>
        <w:t xml:space="preserve">                                                    UKUPNO:                         1.415.453,23 eura</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1.827.777,70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 ovoj šifri se iskazuje stanje obveza na kraju izvještajnog razdoblja. Dakle, ukupne obveze Općine na dan 30. lipnja 2026. godine iznose: =1.827.777,70 eura.</w:t>
      </w:r>
    </w:p>
    <w:p>
      <w:r>
        <w:t xml:space="preserve"> </w:t>
      </w:r>
    </w:p>
    <w:p>
      <w:r>
        <w:t xml:space="preserve">            Naglašavamo, da Općina u ovom razdoblju nema dospjelih obveza.</w:t>
      </w:r>
    </w:p>
    <w:p>
      <w:r>
        <w:t xml:space="preserve"> </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Naglašavamo, da Općina u ovom razdoblju nema dospjelih obveza.</w:t>
      </w:r>
    </w:p>
    <w:p>
      <w:r>
        <w:t xml:space="preserve"> </w:t>
      </w:r>
    </w:p>
    <w:p>
      <w:r>
        <w:t xml:space="preserve"> </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1.827.777,70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Ova bilješka se odnosi na stanje nedospjelih obveza na kraju izvještajnog razdoblja i one ukupno iznose: =1.827.777,70 eura. Od tog iznosa, na obveze za rashode poslovanja otpada =164.679,73 eura (ŠIFRA ND23), na obveze za nabavu nefinancijske imovine =100.623,29 eura (ŠIFRA ND 24), dok na obveze za primljene zajmove otpada preostalih =1.562.474,68 eura (ŠIFRA ND 26).</w:t>
      </w:r>
    </w:p>
    <w:p>
      <w:r>
        <w:t xml:space="preserve"> </w:t>
      </w:r>
    </w:p>
    <w:p>
      <w:r>
        <w:t xml:space="preserve">Smatramo da je potrebno objasniti i strukturu obveze za primljene zajmove:</w:t>
      </w:r>
    </w:p>
    <w:p>
      <w:r>
        <w:t xml:space="preserve">1.    Dugoročni zajam HBOR                          =62.474,68 i</w:t>
      </w:r>
    </w:p>
    <w:p>
      <w:r>
        <w:t xml:space="preserve">2.    Dugoročni zajam ERSTE banke d.d.   =1.500.000,00 (odobreno:1.500.000,00 eura)   </w:t>
      </w:r>
    </w:p>
    <w:p>
      <w:r>
        <w:t xml:space="preserve">             Sveukupno:                                  =1.562.474,68 eura.</w:t>
      </w:r>
    </w:p>
    <w:p/>
    <w:p>
      <w:pPr>
        <w:jc w:val="center"/>
        <w:pStyle w:val="Normal"/>
        <w:spacing w:line="240" w:lineRule="auto"/>
        <w:keepNext/>
      </w:pPr>
      <w:r>
        <w:rPr>
          <w:sz w:val="28"/>
          <w:rFonts w:ascii="Times New Roman" w:hAnsi="Times New Roman"/>
        </w:rPr>
        <w:t xml:space="preserve">Bilješka 33.</w:t>
      </w:r>
    </w:p>
    <w:p>
      <w:pPr>
        <w:jc w:val="both"/>
        <w:pStyle w:val="Normal"/>
        <w:spacing w:line="240" w:lineRule="auto"/>
      </w:pPr>
      <w:r>
        <w:rPr>
          <w:b/>
          <w:sz w:val="24"/>
          <w:rFonts w:ascii="Times New Roman" w:hAnsi="Times New Roman"/>
        </w:rPr>
        <w:t xml:space="preserve">EU izvještaj</w:t>
      </w:r>
    </w:p>
    <w:p>
      <w:r>
        <w:t xml:space="preserve">Općina Virje je u ovom razdoblju (1.01.-31.06. 2026. godine) prema HZZZ ispostavila 2 (dva) zahtjeva za nadoknadom sredstava (ZNS-a) i to:</w:t>
      </w:r>
    </w:p>
    <w:p>
      <w:r>
        <w:t xml:space="preserve"> </w:t>
      </w:r>
    </w:p>
    <w:p>
      <w:r>
        <w:t xml:space="preserve">1.    24.02.2026. godine na iznos od =33.284,58 eura, što je i naplaćeno 26.03.2026. godine, a što je sa potraživanjem iz 2025. godine (31.12.) od =32.412,87 eura, a to je i naplaćeno 20.01.2026. godine i</w:t>
      </w:r>
    </w:p>
    <w:p>
      <w:r>
        <w:t xml:space="preserve">2.    24.05.2026. na iznos od =35.028,00 eura, što je i naplaćeno 23. 06. 2026. godine. </w:t>
      </w:r>
    </w:p>
    <w:p>
      <w:r>
        <w:t xml:space="preserve">SVEUKUPNO ISPOSTAVLJENI ZNS   =68.312,58 eura,</w:t>
      </w:r>
    </w:p>
    <w:p>
      <w:r>
        <w:t xml:space="preserve">NAPLAĆENO -UKUPNO:                     =100.725,45 eura,</w:t>
      </w:r>
    </w:p>
    <w:p>
      <w:r>
        <w:t xml:space="preserve">ZA NAPLATU NA 30.06.2026.:                         0,00 eura.</w:t>
      </w:r>
    </w:p>
    <w:p>
      <w:r>
        <w:t xml:space="preserve"> </w:t>
      </w:r>
    </w:p>
    <w:p>
      <w:r>
        <w:t xml:space="preserve">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517f9ff1f88f471d" /></Relationships>
</file>