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8C19" w14:textId="77777777" w:rsidR="00383A3F" w:rsidRPr="001469D1" w:rsidRDefault="00632A43" w:rsidP="001469D1">
      <w:pPr>
        <w:pStyle w:val="Bezproreda1"/>
        <w:jc w:val="center"/>
        <w:rPr>
          <w:b/>
          <w:color w:val="000000"/>
        </w:rPr>
      </w:pPr>
      <w:r w:rsidRPr="001469D1">
        <w:rPr>
          <w:b/>
          <w:color w:val="000000"/>
        </w:rPr>
        <w:t>Tehnička specifikacija predmeta nabave</w:t>
      </w:r>
    </w:p>
    <w:p w14:paraId="1D35EEE1" w14:textId="28C45691" w:rsidR="00632A43" w:rsidRPr="001469D1" w:rsidRDefault="00383A3F" w:rsidP="001469D1">
      <w:pPr>
        <w:pStyle w:val="Bezproreda1"/>
        <w:jc w:val="center"/>
        <w:rPr>
          <w:b/>
        </w:rPr>
      </w:pPr>
      <w:r w:rsidRPr="001469D1">
        <w:rPr>
          <w:b/>
          <w:color w:val="000000"/>
        </w:rPr>
        <w:t xml:space="preserve">Rekonstrukcija </w:t>
      </w:r>
      <w:r w:rsidR="00613D3C" w:rsidRPr="001469D1">
        <w:rPr>
          <w:b/>
          <w:color w:val="000000"/>
        </w:rPr>
        <w:t>i obnova sportske građevine s navodnjavanjem nogometnog igrališta</w:t>
      </w:r>
    </w:p>
    <w:p w14:paraId="2E550C67" w14:textId="77777777" w:rsidR="00503324" w:rsidRPr="001469D1" w:rsidRDefault="00503324" w:rsidP="001469D1">
      <w:pPr>
        <w:pStyle w:val="Default"/>
        <w:jc w:val="both"/>
      </w:pPr>
    </w:p>
    <w:p w14:paraId="18CEAB33" w14:textId="77777777" w:rsidR="00613D3C" w:rsidRPr="001469D1" w:rsidRDefault="00613D3C" w:rsidP="001469D1">
      <w:pPr>
        <w:pStyle w:val="Default"/>
        <w:jc w:val="both"/>
      </w:pPr>
    </w:p>
    <w:p w14:paraId="72F6B1FE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Naručitelj Općina Virje planira rekonstrukciju i obnovu sportske građevine s navodnjavanjem</w:t>
      </w:r>
    </w:p>
    <w:p w14:paraId="4B905E38" w14:textId="1574CA3B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nogometnog igrališta u Virju. Na lokaciji postojećeg nogometnog igrališta planira se rekonstrukcija i obnova sportske građevine i nogometnog igrališta sa izvedbom sustava navodnjavanja.</w:t>
      </w:r>
    </w:p>
    <w:p w14:paraId="6D89EA59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439D61F" w14:textId="3F954D98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Namjeravani zahvat nalazi se na postojećoj građevnoj čestici k.č.br. 8629/3 k.o. Virje. Građevna čestica se nalazi u građevinskom području. Važeći prostorni plan s kojim je zahvat u prostoru usklađen je</w:t>
      </w:r>
      <w:r w:rsidR="001469D1">
        <w:rPr>
          <w:rFonts w:eastAsiaTheme="minorHAnsi"/>
          <w:lang w:eastAsia="en-US"/>
        </w:rPr>
        <w:t xml:space="preserve"> s</w:t>
      </w:r>
      <w:r w:rsidRPr="001469D1">
        <w:rPr>
          <w:rFonts w:eastAsiaTheme="minorHAnsi"/>
          <w:lang w:eastAsia="en-US"/>
        </w:rPr>
        <w:t>:</w:t>
      </w:r>
    </w:p>
    <w:p w14:paraId="79D83E99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• Prostorni plan uređenja općine Virje ("Službeni glasnik Koprivničko-križevačke županije”</w:t>
      </w:r>
    </w:p>
    <w:p w14:paraId="5B9EFE40" w14:textId="4A7F2951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 xml:space="preserve">broj 12/06, 5/09, 5/17, 5/18-pročišćeni tekst, 39/22, 4/23-pročišćeni tekst). </w:t>
      </w:r>
    </w:p>
    <w:p w14:paraId="7D8CC0FA" w14:textId="5DCEA00D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Teren je ravan.</w:t>
      </w:r>
    </w:p>
    <w:p w14:paraId="1BD42DF5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Površina građevne čestice je 7.728,00 m2.</w:t>
      </w:r>
    </w:p>
    <w:p w14:paraId="1F340393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84AE18E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Planirana je izvedbe rekonstrukcije i obnove sportske građevine te rekonstrukcije postojećeg</w:t>
      </w:r>
    </w:p>
    <w:p w14:paraId="1BBBE9F7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nogometnog igrališta u vidu izvedbe sustava navodnjavanja. Ugradit će se sustav automatskog</w:t>
      </w:r>
    </w:p>
    <w:p w14:paraId="130B795B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navodnjavanja sa regulatorom protoka, sa svom potrebnom opremom.</w:t>
      </w:r>
    </w:p>
    <w:p w14:paraId="524A600F" w14:textId="77777777" w:rsidR="00592C3D" w:rsidRPr="001469D1" w:rsidRDefault="00592C3D" w:rsidP="001469D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3A3B5C9E" w14:textId="01A5D789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469D1">
        <w:rPr>
          <w:rFonts w:eastAsiaTheme="minorHAnsi"/>
          <w:b/>
          <w:bCs/>
          <w:lang w:eastAsia="en-US"/>
        </w:rPr>
        <w:t>POSTOJEĆE STANJE OBJEKTA</w:t>
      </w:r>
    </w:p>
    <w:p w14:paraId="125CFAF5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Postojeća zgrada je tlocrtnih dimenzija 38,90 x 9,10 m, maksimalne visine do vijenca 8,17 m.</w:t>
      </w:r>
    </w:p>
    <w:p w14:paraId="14144F84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Ukupna površina zgrade je:</w:t>
      </w:r>
    </w:p>
    <w:p w14:paraId="6A3B2B81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Bruto površina: Prizemlje: 329,96 m2</w:t>
      </w:r>
    </w:p>
    <w:p w14:paraId="7B00E8AC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Tribine: 17,35 m2</w:t>
      </w:r>
    </w:p>
    <w:p w14:paraId="6CEB1581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Neto površina: Prizemlje zatvoreni prostor: 263,03 m2</w:t>
      </w:r>
    </w:p>
    <w:p w14:paraId="11A4DBFE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Prizemlje otvoreni prostor: 42,25 m2</w:t>
      </w:r>
    </w:p>
    <w:p w14:paraId="7C9868ED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Tribine zatvoreni prostor: 16,47 m2</w:t>
      </w:r>
    </w:p>
    <w:p w14:paraId="7DFE3B23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Tribine otvoreni prostor: 349,25 m2</w:t>
      </w:r>
    </w:p>
    <w:p w14:paraId="6083D652" w14:textId="0FA2B01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Unutar zgrade u prizemlju se nalaze prostorije za potrebe NK “Podravac” Virje – svlačionice sa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tuševima, te ostale popratne prostorije, dok se iznad prizemlja nalaze natkrivene tribine. Ukupne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tlocrtne dimenzije zgrade su 38,90 x 9,10 m, maksimalne visine do vijenca 8,17 m.</w:t>
      </w:r>
    </w:p>
    <w:p w14:paraId="783B49A7" w14:textId="0A353A6C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Vertikalnu nosivu konstrukciju postojećeg objekta čine vanjski i unutarnji nosivi zidovi od šuplje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blok opeke, različitih debljina povezani AB elementima, dok je stropna konstrukcija AB ploča.</w:t>
      </w:r>
    </w:p>
    <w:p w14:paraId="19BC5645" w14:textId="55E563BC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Krovna konstrukcija je izvedena od čeličnih rešetki, a pokrov od lima. Vanjska stolarija izvedena je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od PVC-a, a unutarnja je drvena. Podovi su izvedeni od keramičkih pločica.</w:t>
      </w:r>
    </w:p>
    <w:p w14:paraId="7BF650CB" w14:textId="77777777" w:rsidR="00613D3C" w:rsidRPr="001469D1" w:rsidRDefault="00613D3C" w:rsidP="001469D1">
      <w:pPr>
        <w:pStyle w:val="Default"/>
        <w:jc w:val="both"/>
        <w:rPr>
          <w:rFonts w:eastAsiaTheme="minorHAnsi"/>
          <w:lang w:eastAsia="en-US"/>
        </w:rPr>
      </w:pPr>
    </w:p>
    <w:p w14:paraId="5D6C7168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S obzirom da su unutar klupskih prostorija – svlačionica i tuševa, stare i dotrajale vodovodne</w:t>
      </w:r>
    </w:p>
    <w:p w14:paraId="658C51FF" w14:textId="75EAC618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instalacije i keramičke pločice, postojeće pločice i instalacije će se zamijeniti sa novima. U nekim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prostorijama će se postaviti samo nove podne pločice, a u nekima gdje su zidovi vidno oštećeni od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vlage će se zamijeniti i podne i zidne pločice. Također će se ugraditi i nove mješalice za tuševe.</w:t>
      </w:r>
    </w:p>
    <w:p w14:paraId="53329693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Unutar zgrade se nalazi i WC za posjetitelje koji je u lošem stanju, te će se i on kompletno</w:t>
      </w:r>
    </w:p>
    <w:p w14:paraId="5C9BF2E9" w14:textId="0002DBDD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rekonstruirati i pregraditi tako da se dobiju dva zasebna WC-a – jedan muški, i jedan invalidski i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ženski. Kako bi se omogućio pristup u nove sanitarne čvorove probit će se dva nova otvora za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vrata u vanjskom zidu.</w:t>
      </w:r>
    </w:p>
    <w:p w14:paraId="65C2A9E9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Sa vanjske strane zgrade izvodi se termo fasada kako bi se poboljšala toplinska izolacija zgrade.</w:t>
      </w:r>
    </w:p>
    <w:p w14:paraId="4BAD9FE8" w14:textId="77777777" w:rsidR="00592C3D" w:rsidRPr="001469D1" w:rsidRDefault="00592C3D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7FD449B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469D1">
        <w:rPr>
          <w:rFonts w:eastAsiaTheme="minorHAnsi"/>
          <w:b/>
          <w:bCs/>
          <w:lang w:eastAsia="en-US"/>
        </w:rPr>
        <w:lastRenderedPageBreak/>
        <w:t>POSTOJEĆE STANJE NOGOMETNOG TERENA (IGRALIŠTA)</w:t>
      </w:r>
    </w:p>
    <w:p w14:paraId="425067A7" w14:textId="4AA1DC26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Postojeće nogometno igralište, s prirodnom travom, je pravilnog tlocrtnog oblika bruto dimenzija 72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x 107 m, te je ograđeno ogradom. Tlocrtna bruto površina iznosi cca 7.704,00 m2.</w:t>
      </w:r>
    </w:p>
    <w:p w14:paraId="21A5546D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Unutar navedene bruto dimenzije, iscrtano je nogometno igralište neto dimenzija 65 x 100 m.</w:t>
      </w:r>
    </w:p>
    <w:p w14:paraId="0FAC5ED2" w14:textId="11D6406F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Uzdužne linije predmetnog igrališta su od ograde udaljene 3 metra na strani drugog pomoćnog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suca te 3,80 metara na strani prvog pomoćnog suca.</w:t>
      </w:r>
    </w:p>
    <w:p w14:paraId="39C9A415" w14:textId="3D9EEE82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Poprečne linije predmetnog igrališta udaljene su 3,20 metara na južnoj strani čime gola te 4,50 m</w:t>
      </w:r>
      <w:r w:rsidR="00592C3D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metara na sjevernoj strani iza gola te imaju mogućnost suženja prema kornerima do 1,50 m.</w:t>
      </w:r>
    </w:p>
    <w:p w14:paraId="13223C80" w14:textId="77777777" w:rsidR="001469D1" w:rsidRPr="001469D1" w:rsidRDefault="001469D1" w:rsidP="001469D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07A89904" w14:textId="415FCC02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469D1">
        <w:rPr>
          <w:rFonts w:eastAsiaTheme="minorHAnsi"/>
          <w:b/>
          <w:bCs/>
          <w:lang w:eastAsia="en-US"/>
        </w:rPr>
        <w:t>NAVODNJAVANJE IGRALIŠTA</w:t>
      </w:r>
    </w:p>
    <w:p w14:paraId="6A02EAB1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U svrhu održavanja nogometnog terena predviđa se ugradnja sustava za navodnjavanje</w:t>
      </w:r>
    </w:p>
    <w:p w14:paraId="30DA6983" w14:textId="000A031E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nogometnog igrališta. Sustav za navodnjavanje sastoji se od 24 rotora i 12 ventila raspoređenih</w:t>
      </w:r>
      <w:r w:rsidR="001469D1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tako da se osigura ravnomjerno pokrivanje i optimalna vlažnost travnjaka. Hidraulični uvjeti</w:t>
      </w:r>
      <w:r w:rsidR="001469D1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potrebni za ispravan rad sustava su protok vode jednak ili veći od 6 m3/h, i radni pritisak jednak ili</w:t>
      </w:r>
      <w:r w:rsidR="001469D1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veći od 5,5 bara. Opskrba sustava vodom osigurava se putem postojećeg bunara, koji zadovoljava</w:t>
      </w:r>
      <w:r w:rsidR="001469D1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svojim kapacitetom. Sustavom navodnjavanja upravlja se pomoću kontrolne opreme kao što su</w:t>
      </w:r>
      <w:r w:rsidR="001469D1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mjerač vremena za vodu ili malo računalo. Kontrolna oprema omogućava postavljanje trajanja</w:t>
      </w:r>
      <w:r w:rsidR="001469D1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navodnjavanja, čime se postiže optimalna potrošnja vode i održavanje ujednačene kvalitete</w:t>
      </w:r>
      <w:r w:rsidR="001469D1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travnjaka za potrebe sportskih aktivnosti. Kontrolna oprema biti će smještena unutar zgrade –</w:t>
      </w:r>
      <w:r w:rsidR="001469D1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sportske građevine.</w:t>
      </w:r>
    </w:p>
    <w:p w14:paraId="2732D58A" w14:textId="77777777" w:rsidR="001469D1" w:rsidRPr="001469D1" w:rsidRDefault="001469D1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9A8893A" w14:textId="77777777" w:rsidR="001469D1" w:rsidRPr="001469D1" w:rsidRDefault="001469D1" w:rsidP="001469D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374AAEDF" w14:textId="6436E97F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Nakon izvedbe svih radova potrebno je izvesti čišćenje slobodne površine čestice od alata,</w:t>
      </w:r>
    </w:p>
    <w:p w14:paraId="34D9C9A3" w14:textId="537FE405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materijala, šute i ostalog, te planiranje i zatravljivanje okolnog terena oštećenog prilikom izvođenja</w:t>
      </w:r>
      <w:r w:rsidR="001469D1" w:rsidRPr="001469D1">
        <w:rPr>
          <w:rFonts w:eastAsiaTheme="minorHAnsi"/>
          <w:lang w:eastAsia="en-US"/>
        </w:rPr>
        <w:t xml:space="preserve"> </w:t>
      </w:r>
      <w:r w:rsidRPr="001469D1">
        <w:rPr>
          <w:rFonts w:eastAsiaTheme="minorHAnsi"/>
          <w:lang w:eastAsia="en-US"/>
        </w:rPr>
        <w:t>radova na predmetnom projektu.</w:t>
      </w:r>
    </w:p>
    <w:p w14:paraId="092EC75B" w14:textId="77777777" w:rsidR="001469D1" w:rsidRPr="001469D1" w:rsidRDefault="001469D1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C39818D" w14:textId="6DF93452" w:rsidR="00613D3C" w:rsidRPr="001469D1" w:rsidRDefault="00613D3C" w:rsidP="001469D1">
      <w:pPr>
        <w:pStyle w:val="Default"/>
        <w:jc w:val="both"/>
      </w:pPr>
      <w:r w:rsidRPr="001469D1">
        <w:rPr>
          <w:rFonts w:eastAsiaTheme="minorHAnsi"/>
          <w:b/>
          <w:bCs/>
          <w:lang w:eastAsia="en-US"/>
        </w:rPr>
        <w:t>SANITARNI</w:t>
      </w:r>
      <w:r w:rsidR="001469D1" w:rsidRPr="001469D1">
        <w:rPr>
          <w:rFonts w:eastAsiaTheme="minorHAnsi"/>
          <w:b/>
          <w:bCs/>
          <w:lang w:eastAsia="en-US"/>
        </w:rPr>
        <w:t xml:space="preserve"> UREĐAJI</w:t>
      </w:r>
    </w:p>
    <w:p w14:paraId="0DA25446" w14:textId="77777777" w:rsidR="00613D3C" w:rsidRPr="001469D1" w:rsidRDefault="00613D3C" w:rsidP="001469D1">
      <w:pPr>
        <w:pStyle w:val="Default"/>
        <w:jc w:val="both"/>
      </w:pPr>
    </w:p>
    <w:p w14:paraId="14E6529D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Predviđeni su sanitarni uređaji, armature i sanitarna galanterija od prvoklasne kvalitete.</w:t>
      </w:r>
    </w:p>
    <w:p w14:paraId="62FC15E4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Umivaonici, WC školjke i pisoari predviđeni su iz prvoklasne sanitarne keramike, sve prema</w:t>
      </w:r>
    </w:p>
    <w:p w14:paraId="7BE0C941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odabiru investitora.</w:t>
      </w:r>
    </w:p>
    <w:p w14:paraId="7995C55C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Svi relevantni uređaji za vodu koji će se instalirati (tuševi s mješalicom, slavine, ispusni ventili</w:t>
      </w:r>
    </w:p>
    <w:p w14:paraId="01C15948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pisoara i sl.) moraju biti svrstani u prva 2 razreda potrošnje vode EU vodne oznake EU Water</w:t>
      </w:r>
    </w:p>
    <w:p w14:paraId="718AC032" w14:textId="77777777" w:rsidR="00613D3C" w:rsidRPr="001469D1" w:rsidRDefault="00613D3C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69D1">
        <w:rPr>
          <w:rFonts w:eastAsiaTheme="minorHAnsi"/>
          <w:lang w:eastAsia="en-US"/>
        </w:rPr>
        <w:t>Label.</w:t>
      </w:r>
    </w:p>
    <w:p w14:paraId="140A9738" w14:textId="77777777" w:rsidR="001469D1" w:rsidRPr="001469D1" w:rsidRDefault="001469D1" w:rsidP="001469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1733CEE" w14:textId="77777777" w:rsidR="00613D3C" w:rsidRPr="001469D1" w:rsidRDefault="00613D3C" w:rsidP="001469D1">
      <w:pPr>
        <w:pStyle w:val="Default"/>
        <w:jc w:val="both"/>
      </w:pPr>
    </w:p>
    <w:p w14:paraId="3919E64F" w14:textId="397A5ADC" w:rsidR="00632A43" w:rsidRPr="001469D1" w:rsidRDefault="00503324" w:rsidP="001469D1">
      <w:pPr>
        <w:pStyle w:val="Default"/>
        <w:jc w:val="both"/>
        <w:rPr>
          <w:color w:val="auto"/>
        </w:rPr>
      </w:pPr>
      <w:r w:rsidRPr="001469D1">
        <w:t>Vrsta radova, kvaliteta i količina radova koji će se izvoditi iskazani su u troškovniku koji je sačinjen kao dio radova obuhvaćenih p</w:t>
      </w:r>
      <w:r w:rsidR="00632A43" w:rsidRPr="001469D1">
        <w:t>rojektno tehničko</w:t>
      </w:r>
      <w:r w:rsidRPr="001469D1">
        <w:t>m</w:t>
      </w:r>
      <w:r w:rsidR="00632A43" w:rsidRPr="001469D1">
        <w:t xml:space="preserve"> dokumentacij</w:t>
      </w:r>
      <w:r w:rsidRPr="001469D1">
        <w:t>om</w:t>
      </w:r>
      <w:r w:rsidR="00446EA4" w:rsidRPr="001469D1">
        <w:t xml:space="preserve"> a koji su predmet ove nabave i koji će se izvodit</w:t>
      </w:r>
      <w:r w:rsidR="00592C3D" w:rsidRPr="001469D1">
        <w:t>i</w:t>
      </w:r>
      <w:r w:rsidRPr="001469D1">
        <w:t xml:space="preserve">. Troškovnik i </w:t>
      </w:r>
      <w:r w:rsidR="00592C3D" w:rsidRPr="001469D1">
        <w:t xml:space="preserve">Izvedbeni </w:t>
      </w:r>
      <w:r w:rsidRPr="001469D1">
        <w:t xml:space="preserve">projekt zajedničke oznake </w:t>
      </w:r>
      <w:r w:rsidR="00613D3C" w:rsidRPr="001469D1">
        <w:t>103/18_rev1</w:t>
      </w:r>
      <w:r w:rsidRPr="001469D1">
        <w:t xml:space="preserve"> sastavni su dio dokumentacije o nabavi. </w:t>
      </w:r>
      <w:r w:rsidR="00632A43" w:rsidRPr="001469D1">
        <w:t xml:space="preserve"> </w:t>
      </w:r>
    </w:p>
    <w:p w14:paraId="31A543DC" w14:textId="053F9273" w:rsidR="00632A43" w:rsidRPr="001469D1" w:rsidRDefault="00632A43" w:rsidP="001469D1">
      <w:pPr>
        <w:jc w:val="both"/>
      </w:pPr>
      <w:r w:rsidRPr="001469D1">
        <w:t>Ponuditelji su dužni projektnu dokumentaciju i troškovnik detaljno proučiti i upoznati se sa svim zahtjevima iz istih te sukladno tomu izraditi i dostaviti svoju ponudu.</w:t>
      </w:r>
      <w:r w:rsidR="001469D1" w:rsidRPr="001469D1">
        <w:t xml:space="preserve"> Ukoliko ne</w:t>
      </w:r>
      <w:r w:rsidR="00F1766F">
        <w:t>k</w:t>
      </w:r>
      <w:r w:rsidR="001469D1" w:rsidRPr="001469D1">
        <w:t xml:space="preserve">a stavka troškovnika ili izvedbenog projekta upućuje na marku ili proizvod određenog proizvođača, ponuditelji su slobodni ponuditi proizvod drugog proizvođača uz naznaku jednakovrijednosti. </w:t>
      </w:r>
    </w:p>
    <w:p w14:paraId="4E56F823" w14:textId="797A4754" w:rsidR="00632A43" w:rsidRDefault="00632A43" w:rsidP="001469D1">
      <w:pPr>
        <w:jc w:val="both"/>
      </w:pPr>
    </w:p>
    <w:p w14:paraId="49C8061D" w14:textId="65576159" w:rsidR="001469D1" w:rsidRPr="001469D1" w:rsidRDefault="001469D1" w:rsidP="001469D1">
      <w:pPr>
        <w:jc w:val="both"/>
      </w:pPr>
      <w:r>
        <w:t>Posebna napomena: Početak i završetak radova će biti u dogovoru s NK Podravac u ljetnoj stanci nogometnih natjecanja</w:t>
      </w:r>
      <w:r w:rsidR="00D60F15">
        <w:t xml:space="preserve"> a maksimalno u trajanju 2 mjeseca</w:t>
      </w:r>
      <w:r>
        <w:t xml:space="preserve">. </w:t>
      </w:r>
    </w:p>
    <w:p w14:paraId="1600F928" w14:textId="6A3C441F" w:rsidR="00503324" w:rsidRPr="001469D1" w:rsidRDefault="00503324" w:rsidP="001469D1">
      <w:pPr>
        <w:spacing w:before="60"/>
        <w:jc w:val="both"/>
      </w:pPr>
    </w:p>
    <w:p w14:paraId="3D6A2B45" w14:textId="77777777" w:rsidR="00571A3D" w:rsidRPr="00571A3D" w:rsidRDefault="00571A3D" w:rsidP="001469D1">
      <w:pPr>
        <w:jc w:val="both"/>
        <w:rPr>
          <w:rFonts w:ascii="Calibri" w:hAnsi="Calibri" w:cs="Calibri"/>
          <w:sz w:val="22"/>
          <w:szCs w:val="22"/>
        </w:rPr>
      </w:pPr>
    </w:p>
    <w:p w14:paraId="04EDB40F" w14:textId="77777777" w:rsidR="00B6589A" w:rsidRDefault="00B6589A" w:rsidP="001469D1">
      <w:pPr>
        <w:jc w:val="both"/>
      </w:pPr>
    </w:p>
    <w:sectPr w:rsidR="00B6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36"/>
    <w:multiLevelType w:val="hybridMultilevel"/>
    <w:tmpl w:val="C5608F0A"/>
    <w:lvl w:ilvl="0" w:tplc="31700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340"/>
    <w:multiLevelType w:val="hybridMultilevel"/>
    <w:tmpl w:val="D13C9BF6"/>
    <w:lvl w:ilvl="0" w:tplc="3746D3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117FC"/>
    <w:multiLevelType w:val="hybridMultilevel"/>
    <w:tmpl w:val="8C9844A2"/>
    <w:lvl w:ilvl="0" w:tplc="D60E8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061195">
    <w:abstractNumId w:val="0"/>
  </w:num>
  <w:num w:numId="2" w16cid:durableId="104156798">
    <w:abstractNumId w:val="2"/>
  </w:num>
  <w:num w:numId="3" w16cid:durableId="59378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EA"/>
    <w:rsid w:val="001469D1"/>
    <w:rsid w:val="002151EA"/>
    <w:rsid w:val="00383A3F"/>
    <w:rsid w:val="00446EA4"/>
    <w:rsid w:val="00503324"/>
    <w:rsid w:val="005064E3"/>
    <w:rsid w:val="00571A3D"/>
    <w:rsid w:val="00592C3D"/>
    <w:rsid w:val="00613D3C"/>
    <w:rsid w:val="00632A43"/>
    <w:rsid w:val="00725C55"/>
    <w:rsid w:val="00B6589A"/>
    <w:rsid w:val="00D60F15"/>
    <w:rsid w:val="00ED011A"/>
    <w:rsid w:val="00F1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CD16"/>
  <w15:chartTrackingRefBased/>
  <w15:docId w15:val="{8C47CAC7-1533-4F85-B27E-18D2FF7E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A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632A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Default">
    <w:name w:val="Default"/>
    <w:link w:val="DefaultChar"/>
    <w:qFormat/>
    <w:rsid w:val="00632A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DefaultChar">
    <w:name w:val="Default Char"/>
    <w:link w:val="Default"/>
    <w:qFormat/>
    <w:rsid w:val="00632A43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7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 Općina Virje</dc:creator>
  <cp:keywords/>
  <dc:description/>
  <cp:lastModifiedBy>Kristina Filipović Općina Virje</cp:lastModifiedBy>
  <cp:revision>7</cp:revision>
  <dcterms:created xsi:type="dcterms:W3CDTF">2024-04-26T10:44:00Z</dcterms:created>
  <dcterms:modified xsi:type="dcterms:W3CDTF">2026-04-06T16:11:00Z</dcterms:modified>
</cp:coreProperties>
</file>